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C" w:rsidRDefault="00D01D9A">
      <w:pPr>
        <w:pStyle w:val="Style1"/>
        <w:widowControl/>
        <w:spacing w:before="43" w:line="240" w:lineRule="auto"/>
        <w:ind w:left="1928" w:right="1928"/>
        <w:rPr>
          <w:rStyle w:val="FontStyle11"/>
        </w:rPr>
      </w:pPr>
      <w:r>
        <w:rPr>
          <w:rStyle w:val="FontStyle11"/>
        </w:rPr>
        <w:t xml:space="preserve">ОСНОВНЫЕ ПОКАЗАТЕЛИ, ХАРАКТЕРИЗУЮЩИЕ ДЕЯТЕЛЬНОСТЬ НИЖЕГОРОДСТАТА </w:t>
      </w:r>
    </w:p>
    <w:p w:rsidR="005C636C" w:rsidRDefault="00D01D9A">
      <w:pPr>
        <w:pStyle w:val="Style1"/>
        <w:widowControl/>
        <w:spacing w:line="240" w:lineRule="auto"/>
        <w:ind w:left="1928" w:right="1928"/>
        <w:rPr>
          <w:rStyle w:val="FontStyle11"/>
        </w:rPr>
      </w:pPr>
      <w:r>
        <w:rPr>
          <w:rStyle w:val="FontStyle11"/>
        </w:rPr>
        <w:t>за 2023 год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843"/>
      </w:tblGrid>
      <w:tr w:rsidR="005C636C">
        <w:tc>
          <w:tcPr>
            <w:tcW w:w="8505" w:type="dxa"/>
          </w:tcPr>
          <w:p w:rsidR="005C636C" w:rsidRDefault="00D01D9A">
            <w:pPr>
              <w:pStyle w:val="Style3"/>
              <w:widowControl/>
              <w:ind w:left="2909"/>
              <w:rPr>
                <w:rStyle w:val="FontStyle11"/>
              </w:rPr>
            </w:pPr>
            <w:r>
              <w:rPr>
                <w:rStyle w:val="FontStyle11"/>
              </w:rPr>
              <w:t>Направление работы</w:t>
            </w:r>
          </w:p>
        </w:tc>
        <w:tc>
          <w:tcPr>
            <w:tcW w:w="1843" w:type="dxa"/>
          </w:tcPr>
          <w:p w:rsidR="005C636C" w:rsidRDefault="00D01D9A">
            <w:pPr>
              <w:pStyle w:val="Style3"/>
              <w:widowControl/>
              <w:ind w:right="348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Всего</w:t>
            </w:r>
          </w:p>
        </w:tc>
      </w:tr>
      <w:tr w:rsidR="005C636C">
        <w:trPr>
          <w:trHeight w:val="100"/>
        </w:trPr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ind w:left="459"/>
              <w:rPr>
                <w:rStyle w:val="FontStyle11"/>
              </w:rPr>
            </w:pPr>
            <w:r>
              <w:rPr>
                <w:rStyle w:val="FontStyle11"/>
              </w:rPr>
              <w:t>I. ВЫПОЛНЕНИЕ ПРОИЗВОДСТВЕННОГО ПЛАНА СТАТИСТИЧЕСКИХ РАБОТ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>Собрано и разработано форм федерального статистического наблюдения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166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>Проведено обследований по социально-демографическим проблемам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ind w:left="461"/>
              <w:rPr>
                <w:rStyle w:val="FontStyle11"/>
              </w:rPr>
            </w:pPr>
            <w:r>
              <w:rPr>
                <w:rStyle w:val="FontStyle11"/>
              </w:rPr>
              <w:t>II. СОВЕРШЕНСТВОВАНИЕ СИСТЕМЫ СБОРА ПЕРВИЧНОЙ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ind w:left="854"/>
              <w:rPr>
                <w:rStyle w:val="FontStyle11"/>
              </w:rPr>
            </w:pPr>
            <w:r>
              <w:rPr>
                <w:rStyle w:val="FontStyle11"/>
              </w:rPr>
              <w:t>СТАТИНФОРМАЦИИ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278"/>
              <w:rPr>
                <w:rStyle w:val="FontStyle12"/>
              </w:rPr>
            </w:pPr>
            <w:r>
              <w:rPr>
                <w:rStyle w:val="FontStyle12"/>
              </w:rPr>
              <w:t>Доля отчетов, поступивших в электронном виде</w:t>
            </w:r>
            <w:proofErr w:type="gramStart"/>
            <w:r>
              <w:rPr>
                <w:rStyle w:val="FontStyle12"/>
              </w:rPr>
              <w:t>, %:</w:t>
            </w:r>
            <w:proofErr w:type="gramEnd"/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всего по полному кругу организаций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99,38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по крупным, средним и некоммерческим организациям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99,98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 w:hanging="262"/>
              <w:rPr>
                <w:rStyle w:val="FontStyle12"/>
              </w:rPr>
            </w:pPr>
            <w:r>
              <w:rPr>
                <w:rStyle w:val="FontStyle12"/>
              </w:rPr>
              <w:t>Полнота сбора первичных статистических данных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94,</w:t>
            </w:r>
            <w:r>
              <w:rPr>
                <w:rStyle w:val="FontStyle12"/>
                <w:lang w:val="en-US"/>
              </w:rPr>
              <w:t>75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ind w:left="461"/>
              <w:rPr>
                <w:rStyle w:val="FontStyle11"/>
              </w:rPr>
            </w:pPr>
            <w:r>
              <w:rPr>
                <w:rStyle w:val="FontStyle11"/>
              </w:rPr>
              <w:t>III. ИНФОРМАЦИОННО-АНАЛИТИЧЕСКАЯ РАБОТА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rPr>
          <w:trHeight w:val="138"/>
        </w:trPr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298"/>
              <w:rPr>
                <w:rStyle w:val="FontStyle12"/>
              </w:rPr>
            </w:pPr>
            <w:r>
              <w:rPr>
                <w:rStyle w:val="FontStyle12"/>
              </w:rPr>
              <w:t>Подготовлено и выпущено: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докладов, обзоров, аналитических записок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статистических сборников, бюллетеней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19</w:t>
            </w:r>
            <w:r>
              <w:rPr>
                <w:rStyle w:val="FontStyle12"/>
                <w:lang w:val="en-US"/>
              </w:rPr>
              <w:t>2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 xml:space="preserve">•  </w:t>
            </w:r>
            <w:proofErr w:type="gramStart"/>
            <w:r>
              <w:rPr>
                <w:rStyle w:val="FontStyle12"/>
              </w:rPr>
              <w:t>экспресс-информации</w:t>
            </w:r>
            <w:proofErr w:type="gramEnd"/>
          </w:p>
        </w:tc>
        <w:tc>
          <w:tcPr>
            <w:tcW w:w="1843" w:type="dxa"/>
          </w:tcPr>
          <w:p w:rsidR="005C636C" w:rsidRPr="00650226" w:rsidRDefault="00D01D9A" w:rsidP="00650226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7</w:t>
            </w:r>
            <w:r w:rsidR="00650226">
              <w:rPr>
                <w:rStyle w:val="FontStyle12"/>
              </w:rPr>
              <w:t>16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ind w:left="451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I</w:t>
            </w:r>
            <w:r>
              <w:rPr>
                <w:rStyle w:val="FontStyle11"/>
              </w:rPr>
              <w:t xml:space="preserve">V. РАБОТА СО СРЕДСТВАМИ МАССОВОЙ ИНФОРМАЦИИ 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ind w:right="385"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301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Размещено публикаций в средствах массовой информации </w:t>
            </w:r>
            <w:r>
              <w:rPr>
                <w:rStyle w:val="FontStyle12"/>
              </w:rPr>
              <w:br/>
              <w:t xml:space="preserve">со ссылкой на </w:t>
            </w:r>
            <w:proofErr w:type="spellStart"/>
            <w:r>
              <w:rPr>
                <w:rStyle w:val="FontStyle12"/>
              </w:rPr>
              <w:t>Нижегородстат</w:t>
            </w:r>
            <w:proofErr w:type="spellEnd"/>
          </w:p>
        </w:tc>
        <w:tc>
          <w:tcPr>
            <w:tcW w:w="1843" w:type="dxa"/>
          </w:tcPr>
          <w:p w:rsidR="005C636C" w:rsidRDefault="00D01D9A" w:rsidP="007B6E4B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  <w:color w:val="000000" w:themeColor="text1"/>
              </w:rPr>
              <w:t>1</w:t>
            </w:r>
            <w:r w:rsidR="007B6E4B">
              <w:rPr>
                <w:rStyle w:val="FontStyle12"/>
                <w:color w:val="000000" w:themeColor="text1"/>
              </w:rPr>
              <w:t>695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ind w:left="301"/>
              <w:contextualSpacing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Выпущено пресс-релизов</w:t>
            </w:r>
          </w:p>
        </w:tc>
        <w:tc>
          <w:tcPr>
            <w:tcW w:w="1843" w:type="dxa"/>
          </w:tcPr>
          <w:p w:rsidR="005C636C" w:rsidRDefault="00D01D9A" w:rsidP="007B6E4B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  <w:r w:rsidR="007B6E4B">
              <w:rPr>
                <w:rStyle w:val="FontStyle12"/>
              </w:rPr>
              <w:t>7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ind w:left="301"/>
              <w:contextualSpacing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Выпущено публикаций</w:t>
            </w:r>
          </w:p>
        </w:tc>
        <w:tc>
          <w:tcPr>
            <w:tcW w:w="1843" w:type="dxa"/>
          </w:tcPr>
          <w:p w:rsidR="005C636C" w:rsidRDefault="007B6E4B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225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301"/>
              <w:rPr>
                <w:rStyle w:val="FontStyle12"/>
              </w:rPr>
            </w:pPr>
            <w:r>
              <w:rPr>
                <w:rStyle w:val="FontStyle12"/>
              </w:rPr>
              <w:t>Предоставлено интервью для средств массовой информации</w:t>
            </w:r>
          </w:p>
        </w:tc>
        <w:tc>
          <w:tcPr>
            <w:tcW w:w="1843" w:type="dxa"/>
          </w:tcPr>
          <w:p w:rsidR="005C636C" w:rsidRDefault="007B6E4B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386" w:firstLine="141"/>
              <w:rPr>
                <w:rStyle w:val="FontStyle12"/>
              </w:rPr>
            </w:pPr>
            <w:r>
              <w:rPr>
                <w:rStyle w:val="FontStyle11"/>
              </w:rPr>
              <w:t>V. ИНФОРМАЦИОННОЕ ОБЕСПЕЧЕНИЕ ПОЛЬЗОВАТЕЛЕЙ</w:t>
            </w:r>
          </w:p>
        </w:tc>
        <w:tc>
          <w:tcPr>
            <w:tcW w:w="1843" w:type="dxa"/>
          </w:tcPr>
          <w:p w:rsidR="005C636C" w:rsidRDefault="005C636C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spacing w:line="240" w:lineRule="auto"/>
              <w:ind w:left="386"/>
              <w:rPr>
                <w:rStyle w:val="FontStyle11"/>
              </w:rPr>
            </w:pPr>
            <w:r>
              <w:rPr>
                <w:rStyle w:val="FontStyle12"/>
                <w:bCs/>
              </w:rPr>
              <w:t>Посещаемость сайта Нижегородстата, чел/</w:t>
            </w:r>
            <w:proofErr w:type="spellStart"/>
            <w:proofErr w:type="gramStart"/>
            <w:r>
              <w:rPr>
                <w:rStyle w:val="FontStyle12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7552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tabs>
                <w:tab w:val="left" w:pos="3700"/>
              </w:tabs>
              <w:ind w:left="427"/>
              <w:rPr>
                <w:rStyle w:val="FontStyle11"/>
              </w:rPr>
            </w:pPr>
            <w:r>
              <w:rPr>
                <w:rStyle w:val="FontStyle11"/>
              </w:rPr>
              <w:t>VI. РАБОТА С ГРАЖДАНАМИ, ОРГАНИЗАЦИЯМИ И ОРГАНАМИ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tabs>
                <w:tab w:val="left" w:pos="3700"/>
              </w:tabs>
              <w:ind w:right="385"/>
            </w:pP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3"/>
              <w:widowControl/>
              <w:tabs>
                <w:tab w:val="left" w:pos="3700"/>
              </w:tabs>
              <w:ind w:left="442"/>
              <w:rPr>
                <w:rStyle w:val="FontStyle11"/>
              </w:rPr>
            </w:pPr>
            <w:r>
              <w:rPr>
                <w:rStyle w:val="FontStyle11"/>
              </w:rPr>
              <w:t>ВЛАСТИ</w:t>
            </w:r>
          </w:p>
        </w:tc>
        <w:tc>
          <w:tcPr>
            <w:tcW w:w="1843" w:type="dxa"/>
          </w:tcPr>
          <w:p w:rsidR="005C636C" w:rsidRDefault="005C636C">
            <w:pPr>
              <w:pStyle w:val="Style4"/>
              <w:widowControl/>
              <w:tabs>
                <w:tab w:val="left" w:pos="3700"/>
              </w:tabs>
              <w:ind w:right="385"/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left="298"/>
              <w:rPr>
                <w:rStyle w:val="FontStyle12"/>
              </w:rPr>
            </w:pPr>
            <w:r>
              <w:rPr>
                <w:rStyle w:val="FontStyle12"/>
              </w:rPr>
              <w:t>Принято граждан руководителем Нижегородстата и заместителями руководителя Нижегородстата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ind w:left="298"/>
              <w:rPr>
                <w:rStyle w:val="FontStyle12"/>
                <w:strike/>
              </w:rPr>
            </w:pPr>
            <w:r>
              <w:rPr>
                <w:rStyle w:val="FontStyle12"/>
              </w:rPr>
              <w:t xml:space="preserve">Количество предоставленных материалов, содержащих официальную статистическую информацию, по запросам: </w:t>
            </w:r>
          </w:p>
        </w:tc>
        <w:tc>
          <w:tcPr>
            <w:tcW w:w="1843" w:type="dxa"/>
            <w:vAlign w:val="center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646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граждан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организаций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259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648"/>
              <w:rPr>
                <w:rStyle w:val="FontStyle12"/>
              </w:rPr>
            </w:pPr>
            <w:r>
              <w:rPr>
                <w:rStyle w:val="FontStyle12"/>
              </w:rPr>
              <w:t>•  государственных органов и органов местного самоуправления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Проведено </w:t>
            </w:r>
            <w:proofErr w:type="spellStart"/>
            <w:r>
              <w:rPr>
                <w:rStyle w:val="FontStyle12"/>
              </w:rPr>
              <w:t>вебинаров</w:t>
            </w:r>
            <w:proofErr w:type="spellEnd"/>
            <w:r>
              <w:rPr>
                <w:rStyle w:val="FontStyle12"/>
              </w:rPr>
              <w:t xml:space="preserve"> для предприятий и организаций </w:t>
            </w:r>
            <w:r>
              <w:rPr>
                <w:rStyle w:val="FontStyle12"/>
              </w:rPr>
              <w:br/>
              <w:t>по вопросу заполнения форм статистической отчетности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Проведено </w:t>
            </w:r>
            <w:proofErr w:type="spellStart"/>
            <w:r>
              <w:rPr>
                <w:rStyle w:val="FontStyle12"/>
              </w:rPr>
              <w:t>вебинаров</w:t>
            </w:r>
            <w:proofErr w:type="spellEnd"/>
            <w:r>
              <w:rPr>
                <w:rStyle w:val="FontStyle12"/>
              </w:rPr>
              <w:t xml:space="preserve"> с разъяснением статистической методологии </w:t>
            </w:r>
            <w:r>
              <w:rPr>
                <w:rStyle w:val="FontStyle12"/>
              </w:rPr>
              <w:br/>
              <w:t>для органов государственной власти и органов местного самоуправления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</w:tr>
      <w:tr w:rsidR="005C636C">
        <w:tc>
          <w:tcPr>
            <w:tcW w:w="8505" w:type="dxa"/>
            <w:vAlign w:val="center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1"/>
                <w:color w:val="auto"/>
              </w:rPr>
              <w:t>VII. РАБОТА С НАРУШИТЕЛЯМИ ОТЧЕТНОЙ ДИСЦИПЛИНЫ</w:t>
            </w:r>
          </w:p>
        </w:tc>
        <w:tc>
          <w:tcPr>
            <w:tcW w:w="1843" w:type="dxa"/>
          </w:tcPr>
          <w:p w:rsidR="005C636C" w:rsidRDefault="005C636C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  <w:color w:val="auto"/>
              </w:rPr>
              <w:t>Количество возбужденных дел, в том числе, инициированных: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405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 w:firstLine="567"/>
              <w:rPr>
                <w:rStyle w:val="FontStyle12"/>
              </w:rPr>
            </w:pPr>
            <w:proofErr w:type="spellStart"/>
            <w:r>
              <w:rPr>
                <w:rStyle w:val="FontStyle12"/>
                <w:i/>
                <w:iCs/>
                <w:color w:val="auto"/>
              </w:rPr>
              <w:t>Нижегородстатом</w:t>
            </w:r>
            <w:proofErr w:type="spellEnd"/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134</w:t>
            </w:r>
          </w:p>
        </w:tc>
      </w:tr>
      <w:tr w:rsidR="005C636C">
        <w:tc>
          <w:tcPr>
            <w:tcW w:w="8505" w:type="dxa"/>
          </w:tcPr>
          <w:p w:rsidR="005C636C" w:rsidRDefault="004E7359">
            <w:pPr>
              <w:pStyle w:val="Style2"/>
              <w:widowControl/>
              <w:tabs>
                <w:tab w:val="left" w:pos="3700"/>
              </w:tabs>
              <w:ind w:left="386" w:firstLine="567"/>
              <w:rPr>
                <w:rStyle w:val="FontStyle12"/>
                <w:i/>
              </w:rPr>
            </w:pPr>
            <w:hyperlink r:id="rId9" w:tooltip="Межрегиональное управление Росприроднадзора по Нижегородской области и Республике Мордовия" w:history="1">
              <w:r w:rsidR="00D01D9A">
                <w:rPr>
                  <w:rStyle w:val="FontStyle12"/>
                  <w:i/>
                  <w:color w:val="000000" w:themeColor="text1"/>
                </w:rPr>
                <w:t xml:space="preserve">Межрегиональным управлением </w:t>
              </w:r>
              <w:proofErr w:type="spellStart"/>
              <w:r w:rsidR="00D01D9A">
                <w:rPr>
                  <w:rStyle w:val="FontStyle12"/>
                  <w:i/>
                  <w:color w:val="000000" w:themeColor="text1"/>
                </w:rPr>
                <w:t>Росприроднадзора</w:t>
              </w:r>
              <w:proofErr w:type="spellEnd"/>
              <w:r w:rsidR="00D01D9A">
                <w:rPr>
                  <w:rStyle w:val="FontStyle12"/>
                  <w:i/>
                  <w:color w:val="000000" w:themeColor="text1"/>
                </w:rPr>
                <w:t xml:space="preserve"> по Нижегородской области и Республике Мордовия</w:t>
              </w:r>
            </w:hyperlink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239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 w:firstLine="567"/>
              <w:rPr>
                <w:rStyle w:val="FontStyle12"/>
              </w:rPr>
            </w:pPr>
            <w:proofErr w:type="gramStart"/>
            <w:r>
              <w:rPr>
                <w:rStyle w:val="FontStyle12"/>
                <w:i/>
                <w:iCs/>
                <w:color w:val="000000" w:themeColor="text1"/>
              </w:rPr>
              <w:t>Волго-Вятским</w:t>
            </w:r>
            <w:proofErr w:type="gramEnd"/>
            <w:r>
              <w:rPr>
                <w:rStyle w:val="FontStyle12"/>
                <w:i/>
                <w:iCs/>
                <w:color w:val="000000" w:themeColor="text1"/>
              </w:rPr>
              <w:t xml:space="preserve"> ГУ Банка России 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 w:firstLine="567"/>
              <w:rPr>
                <w:rStyle w:val="FontStyle12"/>
              </w:rPr>
            </w:pPr>
            <w:r>
              <w:rPr>
                <w:rStyle w:val="FontStyle12"/>
                <w:i/>
                <w:iCs/>
                <w:color w:val="auto"/>
              </w:rPr>
              <w:t>Верхневолжским бассейновым водным управлением Федерального агентства водных ресурсов</w:t>
            </w:r>
          </w:p>
        </w:tc>
        <w:tc>
          <w:tcPr>
            <w:tcW w:w="1843" w:type="dxa"/>
          </w:tcPr>
          <w:p w:rsidR="005C636C" w:rsidRDefault="00D01D9A" w:rsidP="004E7359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  <w:bookmarkStart w:id="0" w:name="_GoBack"/>
            <w:bookmarkEnd w:id="0"/>
            <w:r>
              <w:rPr>
                <w:rStyle w:val="FontStyle12"/>
              </w:rPr>
              <w:t xml:space="preserve"> </w:t>
            </w:r>
          </w:p>
        </w:tc>
      </w:tr>
      <w:tr w:rsidR="005C636C">
        <w:tc>
          <w:tcPr>
            <w:tcW w:w="8505" w:type="dxa"/>
          </w:tcPr>
          <w:p w:rsidR="005C636C" w:rsidRDefault="004E7359">
            <w:pPr>
              <w:pStyle w:val="af9"/>
              <w:ind w:left="953"/>
              <w:rPr>
                <w:rStyle w:val="FontStyle12"/>
              </w:rPr>
            </w:pPr>
            <w:hyperlink r:id="rId10" w:tooltip="https://mingkh.nobl.ru/about/structure/0/" w:history="1">
              <w:r w:rsidR="00D01D9A">
                <w:rPr>
                  <w:rStyle w:val="FontStyle12"/>
                  <w:i/>
                  <w:iCs/>
                  <w:color w:val="auto"/>
                </w:rPr>
                <w:t xml:space="preserve">Министерством энергетики Российской Федерации </w:t>
              </w:r>
            </w:hyperlink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  <w:color w:val="auto"/>
              </w:rPr>
              <w:t>Количество вынесенных постановлений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405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  <w:color w:val="auto"/>
              </w:rPr>
              <w:t>Количество наложенных штрафов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167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  <w:color w:val="auto"/>
              </w:rPr>
              <w:t>Сумма наложенных штрафов (тыс. руб.)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right="385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2510</w:t>
            </w:r>
          </w:p>
        </w:tc>
      </w:tr>
      <w:tr w:rsidR="005C636C">
        <w:tc>
          <w:tcPr>
            <w:tcW w:w="8505" w:type="dxa"/>
          </w:tcPr>
          <w:p w:rsidR="005C636C" w:rsidRDefault="00D01D9A">
            <w:pPr>
              <w:pStyle w:val="Style2"/>
              <w:widowControl/>
              <w:tabs>
                <w:tab w:val="left" w:pos="3700"/>
              </w:tabs>
              <w:ind w:left="386"/>
              <w:rPr>
                <w:rStyle w:val="FontStyle12"/>
              </w:rPr>
            </w:pPr>
            <w:r>
              <w:rPr>
                <w:rStyle w:val="FontStyle12"/>
                <w:color w:val="auto"/>
              </w:rPr>
              <w:t>Сумма взысканных штрафов (тыс. руб.)</w:t>
            </w:r>
          </w:p>
        </w:tc>
        <w:tc>
          <w:tcPr>
            <w:tcW w:w="1843" w:type="dxa"/>
          </w:tcPr>
          <w:p w:rsidR="005C636C" w:rsidRDefault="00D01D9A">
            <w:pPr>
              <w:pStyle w:val="Style5"/>
              <w:widowControl/>
              <w:tabs>
                <w:tab w:val="left" w:pos="3700"/>
              </w:tabs>
              <w:spacing w:line="240" w:lineRule="auto"/>
              <w:ind w:left="244" w:right="346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2291</w:t>
            </w:r>
          </w:p>
        </w:tc>
      </w:tr>
    </w:tbl>
    <w:p w:rsidR="005C636C" w:rsidRDefault="005C636C">
      <w:pPr>
        <w:pStyle w:val="af9"/>
        <w:ind w:left="426"/>
        <w:rPr>
          <w:rStyle w:val="FontStyle12"/>
          <w:color w:val="auto"/>
        </w:rPr>
      </w:pPr>
    </w:p>
    <w:sectPr w:rsidR="005C636C">
      <w:type w:val="continuous"/>
      <w:pgSz w:w="11905" w:h="16837"/>
      <w:pgMar w:top="816" w:right="939" w:bottom="709" w:left="939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C" w:rsidRDefault="00D01D9A">
      <w:r>
        <w:separator/>
      </w:r>
    </w:p>
  </w:endnote>
  <w:endnote w:type="continuationSeparator" w:id="0">
    <w:p w:rsidR="005C636C" w:rsidRDefault="00D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C" w:rsidRDefault="00D01D9A">
      <w:r>
        <w:separator/>
      </w:r>
    </w:p>
  </w:footnote>
  <w:footnote w:type="continuationSeparator" w:id="0">
    <w:p w:rsidR="005C636C" w:rsidRDefault="00D0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D4A"/>
    <w:multiLevelType w:val="hybridMultilevel"/>
    <w:tmpl w:val="E8CEB086"/>
    <w:lvl w:ilvl="0" w:tplc="8AF080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2C88B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88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67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4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E7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2C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4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09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73E5"/>
    <w:multiLevelType w:val="hybridMultilevel"/>
    <w:tmpl w:val="E99A48D8"/>
    <w:lvl w:ilvl="0" w:tplc="19AE7F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61324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F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3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82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E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46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21DD"/>
    <w:multiLevelType w:val="hybridMultilevel"/>
    <w:tmpl w:val="A066F412"/>
    <w:lvl w:ilvl="0" w:tplc="0A466DF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3914FE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3E9E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E0EA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D0510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E05C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EE03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B860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96E4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2741F"/>
    <w:multiLevelType w:val="hybridMultilevel"/>
    <w:tmpl w:val="5344CD76"/>
    <w:lvl w:ilvl="0" w:tplc="A468C8D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26C4B7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384D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30B2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F0A6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2C81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A69E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A49C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106D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D5B6D"/>
    <w:multiLevelType w:val="hybridMultilevel"/>
    <w:tmpl w:val="550C3112"/>
    <w:lvl w:ilvl="0" w:tplc="FFD8B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18C42BA">
      <w:start w:val="1"/>
      <w:numFmt w:val="lowerLetter"/>
      <w:lvlText w:val="%2."/>
      <w:lvlJc w:val="left"/>
      <w:pPr>
        <w:ind w:left="1440" w:hanging="360"/>
      </w:pPr>
    </w:lvl>
    <w:lvl w:ilvl="2" w:tplc="6B52A8F2">
      <w:start w:val="1"/>
      <w:numFmt w:val="lowerRoman"/>
      <w:lvlText w:val="%3."/>
      <w:lvlJc w:val="right"/>
      <w:pPr>
        <w:ind w:left="2160" w:hanging="180"/>
      </w:pPr>
    </w:lvl>
    <w:lvl w:ilvl="3" w:tplc="D23E3BAA">
      <w:start w:val="1"/>
      <w:numFmt w:val="decimal"/>
      <w:lvlText w:val="%4."/>
      <w:lvlJc w:val="left"/>
      <w:pPr>
        <w:ind w:left="2880" w:hanging="360"/>
      </w:pPr>
    </w:lvl>
    <w:lvl w:ilvl="4" w:tplc="37B8FDA8">
      <w:start w:val="1"/>
      <w:numFmt w:val="lowerLetter"/>
      <w:lvlText w:val="%5."/>
      <w:lvlJc w:val="left"/>
      <w:pPr>
        <w:ind w:left="3600" w:hanging="360"/>
      </w:pPr>
    </w:lvl>
    <w:lvl w:ilvl="5" w:tplc="BB2C0E9A">
      <w:start w:val="1"/>
      <w:numFmt w:val="lowerRoman"/>
      <w:lvlText w:val="%6."/>
      <w:lvlJc w:val="right"/>
      <w:pPr>
        <w:ind w:left="4320" w:hanging="180"/>
      </w:pPr>
    </w:lvl>
    <w:lvl w:ilvl="6" w:tplc="70001D3E">
      <w:start w:val="1"/>
      <w:numFmt w:val="decimal"/>
      <w:lvlText w:val="%7."/>
      <w:lvlJc w:val="left"/>
      <w:pPr>
        <w:ind w:left="5040" w:hanging="360"/>
      </w:pPr>
    </w:lvl>
    <w:lvl w:ilvl="7" w:tplc="577CB5A6">
      <w:start w:val="1"/>
      <w:numFmt w:val="lowerLetter"/>
      <w:lvlText w:val="%8."/>
      <w:lvlJc w:val="left"/>
      <w:pPr>
        <w:ind w:left="5760" w:hanging="360"/>
      </w:pPr>
    </w:lvl>
    <w:lvl w:ilvl="8" w:tplc="451EE5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6C"/>
    <w:rsid w:val="004E7359"/>
    <w:rsid w:val="005C636C"/>
    <w:rsid w:val="00650226"/>
    <w:rsid w:val="007B6E4B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Verdan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yle1">
    <w:name w:val="Style1"/>
    <w:basedOn w:val="a"/>
    <w:uiPriority w:val="99"/>
    <w:pPr>
      <w:spacing w:line="24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</w:pPr>
  </w:style>
  <w:style w:type="character" w:customStyle="1" w:styleId="FontStyle11">
    <w:name w:val="Font Style11"/>
    <w:basedOn w:val="a0"/>
    <w:uiPriority w:val="9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Verdana" w:hAnsi="Verdana" w:cs="Verdana"/>
      <w:color w:val="000000"/>
      <w:sz w:val="18"/>
      <w:szCs w:val="18"/>
    </w:rPr>
  </w:style>
  <w:style w:type="character" w:styleId="af8">
    <w:name w:val="Hyperlink"/>
    <w:basedOn w:val="a0"/>
    <w:uiPriority w:val="99"/>
    <w:rPr>
      <w:color w:val="0066CC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Verdan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yle1">
    <w:name w:val="Style1"/>
    <w:basedOn w:val="a"/>
    <w:uiPriority w:val="99"/>
    <w:pPr>
      <w:spacing w:line="24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</w:pPr>
  </w:style>
  <w:style w:type="character" w:customStyle="1" w:styleId="FontStyle11">
    <w:name w:val="Font Style11"/>
    <w:basedOn w:val="a0"/>
    <w:uiPriority w:val="9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Verdana" w:hAnsi="Verdana" w:cs="Verdana"/>
      <w:color w:val="000000"/>
      <w:sz w:val="18"/>
      <w:szCs w:val="18"/>
    </w:rPr>
  </w:style>
  <w:style w:type="character" w:styleId="af8">
    <w:name w:val="Hyperlink"/>
    <w:basedOn w:val="a0"/>
    <w:uiPriority w:val="99"/>
    <w:rPr>
      <w:color w:val="0066CC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gkh.nobl.ru/about/structure/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9.rpn.gov.ru/regions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C1AB-53FF-40AD-9160-AAC0F5C1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P52_EgoshinaVN</dc:creator>
  <cp:lastModifiedBy>P52_EgoshinaVN</cp:lastModifiedBy>
  <cp:revision>5</cp:revision>
  <cp:lastPrinted>2024-02-12T07:23:00Z</cp:lastPrinted>
  <dcterms:created xsi:type="dcterms:W3CDTF">2024-02-09T12:12:00Z</dcterms:created>
  <dcterms:modified xsi:type="dcterms:W3CDTF">2024-02-12T07:30:00Z</dcterms:modified>
</cp:coreProperties>
</file>